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320678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C537AF" w:rsidRPr="00C537AF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Modern Retail</w:t>
      </w:r>
    </w:p>
    <w:p w:rsidR="00662103" w:rsidRPr="002D501C" w:rsidRDefault="00C537AF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印尼國際零售</w:t>
      </w:r>
      <w:r w:rsidR="008229FD" w:rsidRPr="008229F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展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C537AF" w:rsidRPr="00C537AF">
        <w:rPr>
          <w:rFonts w:ascii="Calibri" w:eastAsia="新細明體" w:hAnsi="Calibri" w:cs="Arial"/>
          <w:bCs/>
          <w:sz w:val="20"/>
          <w:szCs w:val="20"/>
        </w:rPr>
        <w:t>IDI0098446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C537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C537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198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C537AF" w:rsidRPr="00C537AF" w:rsidRDefault="00C537AF" w:rsidP="00F8730F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18平方米空地</w:t>
            </w:r>
            <w:r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772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C537AF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C537AF" w:rsidRPr="00C537AF">
              <w:rPr>
                <w:rFonts w:ascii="新細明體" w:hAnsi="新細明體" w:hint="eastAsia"/>
                <w:b/>
                <w:sz w:val="20"/>
                <w:szCs w:val="20"/>
              </w:rPr>
              <w:t>隔板、地毯、接待桌、椅子*2、垃圾桶、參展手冊刊登、邀請函、公司招牌版、日光燈*2、插座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C537AF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C537AF" w:rsidRPr="00C537A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印尼國際零售展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C537AF" w:rsidRPr="00C537AF">
        <w:rPr>
          <w:rFonts w:ascii="Calibri" w:eastAsia="標楷體" w:hAnsi="Calibri" w:hint="eastAsia"/>
          <w:b/>
          <w:color w:val="002060"/>
          <w:sz w:val="20"/>
          <w:szCs w:val="20"/>
        </w:rPr>
        <w:t>印尼國際零售展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BA" w:rsidRDefault="00FE3DBA">
      <w:r>
        <w:separator/>
      </w:r>
    </w:p>
  </w:endnote>
  <w:endnote w:type="continuationSeparator" w:id="0">
    <w:p w:rsidR="00FE3DBA" w:rsidRDefault="00FE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BA" w:rsidRDefault="00FE3DBA">
      <w:r>
        <w:separator/>
      </w:r>
    </w:p>
  </w:footnote>
  <w:footnote w:type="continuationSeparator" w:id="0">
    <w:p w:rsidR="00FE3DBA" w:rsidRDefault="00FE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72EAA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37AF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E3DBA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27E8380F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C8F1-B140-49A7-942D-163A5947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2019-05-02T09:05:00Z</dcterms:created>
  <dcterms:modified xsi:type="dcterms:W3CDTF">2019-05-02T09:08:00Z</dcterms:modified>
</cp:coreProperties>
</file>